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EA9A01F"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93241B">
        <w:rPr>
          <w:bCs/>
          <w:noProof w:val="0"/>
          <w:sz w:val="24"/>
          <w:szCs w:val="24"/>
        </w:rPr>
        <w:t>7</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A25754">
        <w:rPr>
          <w:bCs/>
          <w:noProof w:val="0"/>
          <w:sz w:val="24"/>
          <w:szCs w:val="24"/>
        </w:rPr>
        <w:t>7257</w:t>
      </w:r>
    </w:p>
    <w:p w14:paraId="11776FA6" w14:textId="25F502FB" w:rsidR="00A209D6" w:rsidRPr="00465587" w:rsidRDefault="0093241B" w:rsidP="00A209D6">
      <w:pPr>
        <w:pStyle w:val="Header"/>
        <w:tabs>
          <w:tab w:val="right" w:pos="9639"/>
        </w:tabs>
        <w:rPr>
          <w:bCs/>
          <w:sz w:val="24"/>
          <w:szCs w:val="24"/>
          <w:lang w:eastAsia="zh-CN"/>
        </w:rPr>
      </w:pPr>
      <w:r>
        <w:rPr>
          <w:bCs/>
          <w:sz w:val="24"/>
          <w:szCs w:val="24"/>
          <w:lang w:eastAsia="zh-CN"/>
        </w:rPr>
        <w:t>Maastricht, Netherlands</w:t>
      </w:r>
      <w:r w:rsidR="003C2C5D">
        <w:rPr>
          <w:bCs/>
          <w:sz w:val="24"/>
          <w:szCs w:val="24"/>
          <w:lang w:eastAsia="zh-CN"/>
        </w:rPr>
        <w:t xml:space="preserve">, </w:t>
      </w:r>
      <w:r>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37453E">
        <w:rPr>
          <w:bCs/>
          <w:sz w:val="24"/>
          <w:szCs w:val="24"/>
          <w:lang w:eastAsia="zh-CN"/>
        </w:rPr>
        <w:t>May</w:t>
      </w:r>
      <w:r w:rsidR="00646509">
        <w:rPr>
          <w:bCs/>
          <w:sz w:val="24"/>
          <w:szCs w:val="24"/>
          <w:lang w:eastAsia="zh-CN"/>
        </w:rPr>
        <w:t xml:space="preserve"> – </w:t>
      </w:r>
      <w:r w:rsidR="0037453E">
        <w:rPr>
          <w:bCs/>
          <w:sz w:val="24"/>
          <w:szCs w:val="24"/>
          <w:lang w:eastAsia="zh-CN"/>
        </w:rPr>
        <w:t>2</w:t>
      </w:r>
      <w:r>
        <w:rPr>
          <w:bCs/>
          <w:sz w:val="24"/>
          <w:szCs w:val="24"/>
          <w:lang w:eastAsia="zh-CN"/>
        </w:rPr>
        <w:t>3</w:t>
      </w:r>
      <w:r>
        <w:rPr>
          <w:bCs/>
          <w:sz w:val="24"/>
          <w:szCs w:val="24"/>
          <w:vertAlign w:val="superscript"/>
          <w:lang w:eastAsia="zh-CN"/>
        </w:rPr>
        <w:t>rd</w:t>
      </w:r>
      <w:r w:rsidR="0037453E">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175A0C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5FDD">
        <w:rPr>
          <w:rFonts w:eastAsia="SimSun"/>
          <w:b/>
          <w:bCs/>
          <w:sz w:val="24"/>
          <w:szCs w:val="20"/>
          <w:lang w:val="en-GB" w:eastAsia="en-US"/>
        </w:rPr>
        <w:t>On</w:t>
      </w:r>
      <w:r w:rsidR="0051202F">
        <w:rPr>
          <w:rFonts w:eastAsia="SimSun"/>
          <w:b/>
          <w:bCs/>
          <w:sz w:val="24"/>
          <w:szCs w:val="20"/>
          <w:lang w:val="en-GB" w:eastAsia="en-US"/>
        </w:rPr>
        <w:t xml:space="preserve"> SA2 progress and</w:t>
      </w:r>
      <w:r w:rsidR="00725FDD">
        <w:rPr>
          <w:rFonts w:eastAsia="SimSun"/>
          <w:b/>
          <w:bCs/>
          <w:sz w:val="24"/>
          <w:szCs w:val="20"/>
          <w:lang w:val="en-GB" w:eastAsia="en-US"/>
        </w:rPr>
        <w:t xml:space="preserve"> </w:t>
      </w:r>
      <w:r w:rsidR="00490EA3">
        <w:rPr>
          <w:rFonts w:eastAsia="SimSun"/>
          <w:b/>
          <w:bCs/>
          <w:sz w:val="24"/>
          <w:szCs w:val="20"/>
          <w:lang w:val="en-GB" w:eastAsia="en-US"/>
        </w:rPr>
        <w:t>RAN2 aspects on Store and Forward</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564544A" w:rsidR="00F61EF6" w:rsidRDefault="0049280D" w:rsidP="00F61EF6">
      <w:r>
        <w:t>In RAN#10</w:t>
      </w:r>
      <w:r w:rsidR="00B964C2">
        <w:t>3</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694E95">
            <w:pPr>
              <w:numPr>
                <w:ilvl w:val="0"/>
                <w:numId w:val="4"/>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694E95">
            <w:pPr>
              <w:numPr>
                <w:ilvl w:val="1"/>
                <w:numId w:val="4"/>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694E95">
            <w:pPr>
              <w:numPr>
                <w:ilvl w:val="2"/>
                <w:numId w:val="4"/>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694E95">
            <w:pPr>
              <w:numPr>
                <w:ilvl w:val="0"/>
                <w:numId w:val="4"/>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694E95">
            <w:pPr>
              <w:numPr>
                <w:ilvl w:val="1"/>
                <w:numId w:val="4"/>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694E95">
            <w:pPr>
              <w:numPr>
                <w:ilvl w:val="2"/>
                <w:numId w:val="4"/>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694E95">
            <w:pPr>
              <w:numPr>
                <w:ilvl w:val="2"/>
                <w:numId w:val="4"/>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694E95">
            <w:pPr>
              <w:numPr>
                <w:ilvl w:val="2"/>
                <w:numId w:val="4"/>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694E95">
            <w:pPr>
              <w:numPr>
                <w:ilvl w:val="1"/>
                <w:numId w:val="4"/>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694E95">
            <w:pPr>
              <w:numPr>
                <w:ilvl w:val="2"/>
                <w:numId w:val="4"/>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694E95">
            <w:pPr>
              <w:numPr>
                <w:ilvl w:val="2"/>
                <w:numId w:val="4"/>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66AF52E3" w:rsidR="00F00A10" w:rsidRPr="00F97E01" w:rsidRDefault="00C702D5" w:rsidP="00F00A10">
      <w:pPr>
        <w:rPr>
          <w:lang w:eastAsia="ko-KR"/>
        </w:rPr>
      </w:pPr>
      <w:r>
        <w:t xml:space="preserve">In this contribution, </w:t>
      </w:r>
      <w:r w:rsidR="007C5B71">
        <w:t xml:space="preserve">we provide some </w:t>
      </w:r>
      <w:r w:rsidR="0051202F">
        <w:t xml:space="preserve">discussions related to SA2 progress and RAN2 aspects on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3B0C301" w:rsidR="003E45E3" w:rsidRDefault="003E45E3" w:rsidP="00AF4DB9">
      <w:pPr>
        <w:pStyle w:val="PatentBody"/>
        <w:numPr>
          <w:ilvl w:val="0"/>
          <w:numId w:val="0"/>
        </w:numPr>
        <w:spacing w:after="180" w:line="240" w:lineRule="auto"/>
        <w:jc w:val="both"/>
        <w:rPr>
          <w:sz w:val="20"/>
        </w:rPr>
      </w:pPr>
    </w:p>
    <w:p w14:paraId="6DB675FF" w14:textId="1616162B" w:rsidR="007C5B71" w:rsidRDefault="007C5B71" w:rsidP="007C5B71">
      <w:pPr>
        <w:pStyle w:val="Heading2"/>
      </w:pPr>
      <w:r>
        <w:t>Basic scenario</w:t>
      </w:r>
    </w:p>
    <w:p w14:paraId="6F441B4F" w14:textId="65FDAB53" w:rsidR="00033328" w:rsidRDefault="00B519B8" w:rsidP="00AF4DB9">
      <w:pPr>
        <w:pStyle w:val="PatentBody"/>
        <w:numPr>
          <w:ilvl w:val="0"/>
          <w:numId w:val="0"/>
        </w:numPr>
        <w:spacing w:after="180" w:line="240" w:lineRule="auto"/>
        <w:jc w:val="both"/>
        <w:rPr>
          <w:sz w:val="20"/>
        </w:rPr>
      </w:pPr>
      <w:r>
        <w:rPr>
          <w:sz w:val="20"/>
        </w:rPr>
        <w:t xml:space="preserve">The basic assumption of baseline IoT NTN and NR NTN is that full radio and core access is always provided via the transparent satellite. As an enhancement in IoT NTN Rel-18, methods were also specified whereby </w:t>
      </w:r>
      <w:r>
        <w:rPr>
          <w:sz w:val="20"/>
        </w:rPr>
        <w:lastRenderedPageBreak/>
        <w:t xml:space="preserve">access (via NTN) would not always be provided – so-called discontinuous coverage. The methods allow a UE to not waste power to perform idle mode procedures when there is no coverage provided by any satellites. This effectively allows a satellite network with a smaller amount of satellites than what would otherwise be needed to provide continuous coverage. </w:t>
      </w:r>
      <w:r w:rsidR="00DF478D">
        <w:rPr>
          <w:sz w:val="20"/>
        </w:rPr>
        <w:t xml:space="preserve">As an extreme example, only a single LEO satellite could potentially provide service, versus the 66 LEO satellites that is generally quoted as the minimum number that would be required in a LEO constellation at 600 km altitude. </w:t>
      </w:r>
    </w:p>
    <w:p w14:paraId="7464AB98" w14:textId="77777777" w:rsidR="0025487E" w:rsidRDefault="00AD6A7F" w:rsidP="00AF4DB9">
      <w:pPr>
        <w:pStyle w:val="PatentBody"/>
        <w:numPr>
          <w:ilvl w:val="0"/>
          <w:numId w:val="0"/>
        </w:numPr>
        <w:spacing w:after="180" w:line="240" w:lineRule="auto"/>
        <w:jc w:val="both"/>
        <w:rPr>
          <w:sz w:val="20"/>
        </w:rPr>
      </w:pPr>
      <w:r>
        <w:rPr>
          <w:sz w:val="20"/>
        </w:rPr>
        <w:t xml:space="preserve">However, even for </w:t>
      </w:r>
      <w:r w:rsidR="006D1E7E">
        <w:rPr>
          <w:sz w:val="20"/>
        </w:rPr>
        <w:t xml:space="preserve">discontinuous coverage it is assumed that there are enough ground gateways, i.e eNBs on the ground that can provide satellite coverage. In Store and Forward, it is assumed that there may not be enough ground gateways, but that the satellite shall still provide connectivity. </w:t>
      </w:r>
    </w:p>
    <w:p w14:paraId="5A47A667" w14:textId="49E490AE" w:rsidR="003017C6" w:rsidRDefault="00D96004" w:rsidP="003017C6">
      <w:pPr>
        <w:pStyle w:val="PatentBody"/>
        <w:keepNext/>
        <w:numPr>
          <w:ilvl w:val="0"/>
          <w:numId w:val="0"/>
        </w:numPr>
        <w:spacing w:after="180" w:line="240" w:lineRule="auto"/>
        <w:jc w:val="both"/>
      </w:pPr>
      <w:r>
        <w:rPr>
          <w:sz w:val="20"/>
        </w:rPr>
        <w:pict w14:anchorId="31710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pt">
            <v:imagedata r:id="rId8" o:title="S and F"/>
          </v:shape>
        </w:pict>
      </w:r>
    </w:p>
    <w:p w14:paraId="1003D997" w14:textId="16632B5D" w:rsidR="0025487E" w:rsidRPr="003017C6" w:rsidRDefault="003017C6" w:rsidP="003017C6">
      <w:pPr>
        <w:pStyle w:val="Caption"/>
        <w:jc w:val="center"/>
        <w:rPr>
          <w:i w:val="0"/>
          <w:color w:val="auto"/>
          <w:sz w:val="20"/>
        </w:rPr>
      </w:pPr>
      <w:r w:rsidRPr="003017C6">
        <w:rPr>
          <w:i w:val="0"/>
          <w:color w:val="auto"/>
        </w:rPr>
        <w:t xml:space="preserve">Figure </w:t>
      </w:r>
      <w:r w:rsidRPr="003017C6">
        <w:rPr>
          <w:i w:val="0"/>
          <w:color w:val="auto"/>
        </w:rPr>
        <w:fldChar w:fldCharType="begin"/>
      </w:r>
      <w:r w:rsidRPr="003017C6">
        <w:rPr>
          <w:i w:val="0"/>
          <w:color w:val="auto"/>
        </w:rPr>
        <w:instrText xml:space="preserve"> SEQ Figure \* ARABIC </w:instrText>
      </w:r>
      <w:r w:rsidRPr="003017C6">
        <w:rPr>
          <w:i w:val="0"/>
          <w:color w:val="auto"/>
        </w:rPr>
        <w:fldChar w:fldCharType="separate"/>
      </w:r>
      <w:r w:rsidRPr="003017C6">
        <w:rPr>
          <w:i w:val="0"/>
          <w:noProof/>
          <w:color w:val="auto"/>
        </w:rPr>
        <w:t>1</w:t>
      </w:r>
      <w:r w:rsidRPr="003017C6">
        <w:rPr>
          <w:i w:val="0"/>
          <w:color w:val="auto"/>
        </w:rPr>
        <w:fldChar w:fldCharType="end"/>
      </w:r>
      <w:r w:rsidRPr="003017C6">
        <w:rPr>
          <w:i w:val="0"/>
          <w:color w:val="auto"/>
        </w:rPr>
        <w:t>. Different types of NTNs.</w:t>
      </w:r>
    </w:p>
    <w:p w14:paraId="0681D4FA" w14:textId="43D52C56" w:rsidR="0025487E" w:rsidRDefault="00422669" w:rsidP="00AF4DB9">
      <w:pPr>
        <w:pStyle w:val="PatentBody"/>
        <w:numPr>
          <w:ilvl w:val="0"/>
          <w:numId w:val="0"/>
        </w:numPr>
        <w:spacing w:after="180" w:line="240" w:lineRule="auto"/>
        <w:jc w:val="both"/>
        <w:rPr>
          <w:sz w:val="20"/>
        </w:rPr>
      </w:pPr>
      <w:r>
        <w:rPr>
          <w:sz w:val="20"/>
        </w:rPr>
        <w:t>From the above it should be clear that a UE, and by extension a service, o</w:t>
      </w:r>
      <w:r w:rsidR="00921FD2">
        <w:rPr>
          <w:sz w:val="20"/>
        </w:rPr>
        <w:t>perating in an S&amp;F network may</w:t>
      </w:r>
      <w:r>
        <w:rPr>
          <w:sz w:val="20"/>
        </w:rPr>
        <w:t xml:space="preserve"> have to cope with very large delays. In a discontinuous coverage network, a service may also experience large delays. The difference between a discontinuous coverage network and a S&amp;F network is that the delay when the UE has successfully accessed the network will be a lot higher in the S&amp;F network. </w:t>
      </w:r>
    </w:p>
    <w:p w14:paraId="3D3EE491" w14:textId="7F8459F8" w:rsidR="00422669" w:rsidRPr="009607A6" w:rsidRDefault="00422669" w:rsidP="00422669">
      <w:pPr>
        <w:rPr>
          <w:b/>
        </w:rPr>
      </w:pPr>
      <w:r w:rsidRPr="009607A6">
        <w:rPr>
          <w:b/>
        </w:rPr>
        <w:t xml:space="preserve">Observation 1: </w:t>
      </w:r>
      <w:r>
        <w:rPr>
          <w:b/>
        </w:rPr>
        <w:t>The E2E delay in a</w:t>
      </w:r>
      <w:r w:rsidR="003D20BB">
        <w:rPr>
          <w:b/>
        </w:rPr>
        <w:t>n</w:t>
      </w:r>
      <w:r>
        <w:rPr>
          <w:b/>
        </w:rPr>
        <w:t xml:space="preserve"> S&amp;F network may be very large</w:t>
      </w:r>
      <w:r w:rsidRPr="009607A6">
        <w:rPr>
          <w:b/>
        </w:rPr>
        <w:t xml:space="preserve">. </w:t>
      </w:r>
    </w:p>
    <w:p w14:paraId="33491959" w14:textId="05B10F02" w:rsidR="003E45E3" w:rsidRDefault="003E45E3" w:rsidP="00AF4DB9">
      <w:pPr>
        <w:pStyle w:val="PatentBody"/>
        <w:numPr>
          <w:ilvl w:val="0"/>
          <w:numId w:val="0"/>
        </w:numPr>
        <w:spacing w:after="180" w:line="240" w:lineRule="auto"/>
        <w:jc w:val="both"/>
        <w:rPr>
          <w:sz w:val="20"/>
        </w:rPr>
      </w:pPr>
    </w:p>
    <w:p w14:paraId="10FDDFE7" w14:textId="0622812D" w:rsidR="0025487E" w:rsidRPr="0025487E" w:rsidRDefault="009F17AE" w:rsidP="0025487E">
      <w:pPr>
        <w:pStyle w:val="Heading2"/>
      </w:pPr>
      <w:r>
        <w:t>SA2 progress</w:t>
      </w:r>
    </w:p>
    <w:p w14:paraId="5D0929D1" w14:textId="29057593" w:rsidR="009F17AE" w:rsidRDefault="009F17AE" w:rsidP="00AF4DB9">
      <w:pPr>
        <w:pStyle w:val="PatentBody"/>
        <w:numPr>
          <w:ilvl w:val="0"/>
          <w:numId w:val="0"/>
        </w:numPr>
        <w:spacing w:after="180" w:line="240" w:lineRule="auto"/>
        <w:jc w:val="both"/>
        <w:rPr>
          <w:sz w:val="20"/>
        </w:rPr>
      </w:pPr>
      <w:r>
        <w:rPr>
          <w:sz w:val="20"/>
        </w:rPr>
        <w:t>SA2 has made co</w:t>
      </w:r>
      <w:r w:rsidR="00F717AD">
        <w:rPr>
          <w:sz w:val="20"/>
        </w:rPr>
        <w:t xml:space="preserve">nclusions on Store and Forward. Some notable conclusions are: </w:t>
      </w:r>
    </w:p>
    <w:p w14:paraId="01CEB234" w14:textId="49EB6376" w:rsidR="00EF0AF1" w:rsidRDefault="00EF0AF1" w:rsidP="00F717AD">
      <w:pPr>
        <w:pStyle w:val="PatentBody"/>
        <w:numPr>
          <w:ilvl w:val="0"/>
          <w:numId w:val="8"/>
        </w:numPr>
        <w:spacing w:after="180" w:line="240" w:lineRule="auto"/>
        <w:jc w:val="both"/>
        <w:rPr>
          <w:sz w:val="20"/>
        </w:rPr>
      </w:pPr>
      <w:r>
        <w:rPr>
          <w:sz w:val="20"/>
        </w:rPr>
        <w:t>SA2 have determin</w:t>
      </w:r>
      <w:r w:rsidR="006D7099">
        <w:rPr>
          <w:sz w:val="20"/>
        </w:rPr>
        <w:t xml:space="preserve">ed two architecture assumptions. The architecture chosen is up to the deployment. </w:t>
      </w:r>
      <w:r>
        <w:rPr>
          <w:sz w:val="20"/>
        </w:rPr>
        <w:t xml:space="preserve"> </w:t>
      </w:r>
    </w:p>
    <w:p w14:paraId="517C4FA9" w14:textId="323AC205" w:rsidR="00F717AD" w:rsidRDefault="00EF0AF1" w:rsidP="00EF0AF1">
      <w:pPr>
        <w:pStyle w:val="PatentBody"/>
        <w:numPr>
          <w:ilvl w:val="1"/>
          <w:numId w:val="8"/>
        </w:numPr>
        <w:spacing w:after="180" w:line="240" w:lineRule="auto"/>
        <w:jc w:val="both"/>
        <w:rPr>
          <w:sz w:val="20"/>
        </w:rPr>
      </w:pPr>
      <w:r w:rsidRPr="00A7049D">
        <w:rPr>
          <w:b/>
          <w:sz w:val="20"/>
        </w:rPr>
        <w:t>Split MME architecture.</w:t>
      </w:r>
      <w:r>
        <w:rPr>
          <w:sz w:val="20"/>
        </w:rPr>
        <w:t xml:space="preserve"> In split MME architecture, as the name implies, the eNB and part of the MME will be on the satellite. The MME is split in to MME-onboard and MME-ground. </w:t>
      </w:r>
      <w:r w:rsidR="00854530">
        <w:rPr>
          <w:sz w:val="20"/>
        </w:rPr>
        <w:t xml:space="preserve">The interface between MME-onboard and MME-ground. MO data is stored in MME-onboard when either service or feeder link is unavailable. </w:t>
      </w:r>
    </w:p>
    <w:p w14:paraId="7E49DF7B" w14:textId="09DDA7FE" w:rsidR="00854530" w:rsidRDefault="00A7049D" w:rsidP="00EF0AF1">
      <w:pPr>
        <w:pStyle w:val="PatentBody"/>
        <w:numPr>
          <w:ilvl w:val="1"/>
          <w:numId w:val="8"/>
        </w:numPr>
        <w:spacing w:after="180" w:line="240" w:lineRule="auto"/>
        <w:jc w:val="both"/>
        <w:rPr>
          <w:sz w:val="20"/>
        </w:rPr>
      </w:pPr>
      <w:r w:rsidRPr="006D7099">
        <w:rPr>
          <w:b/>
          <w:sz w:val="20"/>
        </w:rPr>
        <w:t>Full CN onboard.</w:t>
      </w:r>
      <w:r>
        <w:rPr>
          <w:sz w:val="20"/>
        </w:rPr>
        <w:t xml:space="preserve"> This includes the full core network and RAN such as eNB, MME, SGW, PGW, HSS, E-SMLC and SMSC. </w:t>
      </w:r>
    </w:p>
    <w:p w14:paraId="382083AB" w14:textId="3490E58C" w:rsidR="00F717AD" w:rsidRDefault="00661B72" w:rsidP="00F717AD">
      <w:pPr>
        <w:pStyle w:val="PatentBody"/>
        <w:numPr>
          <w:ilvl w:val="0"/>
          <w:numId w:val="8"/>
        </w:numPr>
        <w:spacing w:after="180" w:line="240" w:lineRule="auto"/>
        <w:jc w:val="both"/>
        <w:rPr>
          <w:sz w:val="20"/>
        </w:rPr>
      </w:pPr>
      <w:r>
        <w:rPr>
          <w:sz w:val="20"/>
        </w:rPr>
        <w:t>eNB broadcasts support of S&amp;F operation as part of system information</w:t>
      </w:r>
    </w:p>
    <w:p w14:paraId="35C306E6" w14:textId="06ED731F" w:rsidR="00661B72" w:rsidRDefault="00661B72" w:rsidP="00F717AD">
      <w:pPr>
        <w:pStyle w:val="PatentBody"/>
        <w:numPr>
          <w:ilvl w:val="0"/>
          <w:numId w:val="8"/>
        </w:numPr>
        <w:spacing w:after="180" w:line="240" w:lineRule="auto"/>
        <w:jc w:val="both"/>
        <w:rPr>
          <w:sz w:val="20"/>
        </w:rPr>
      </w:pPr>
      <w:r>
        <w:rPr>
          <w:sz w:val="20"/>
        </w:rPr>
        <w:t>UE indicates support for S&amp;F operation as part of NAS capability</w:t>
      </w:r>
    </w:p>
    <w:p w14:paraId="5E661E63" w14:textId="4F30478D" w:rsidR="00661B72" w:rsidRDefault="0043208C" w:rsidP="00F717AD">
      <w:pPr>
        <w:pStyle w:val="PatentBody"/>
        <w:numPr>
          <w:ilvl w:val="0"/>
          <w:numId w:val="8"/>
        </w:numPr>
        <w:spacing w:after="180" w:line="240" w:lineRule="auto"/>
        <w:jc w:val="both"/>
        <w:rPr>
          <w:sz w:val="20"/>
        </w:rPr>
      </w:pPr>
      <w:r>
        <w:rPr>
          <w:sz w:val="20"/>
        </w:rPr>
        <w:t xml:space="preserve">A time to wait as well as </w:t>
      </w:r>
      <w:r w:rsidR="00661B72">
        <w:rPr>
          <w:sz w:val="20"/>
        </w:rPr>
        <w:t>optionally a list of satellite IDs where t</w:t>
      </w:r>
      <w:r>
        <w:rPr>
          <w:sz w:val="20"/>
        </w:rPr>
        <w:t>he UE may re-attempt attach, TAU procedure, exchange signalling or send data to</w:t>
      </w:r>
      <w:r w:rsidR="00661B72">
        <w:rPr>
          <w:sz w:val="20"/>
        </w:rPr>
        <w:t xml:space="preserve">. The satellite IDs are based on SIB information broadcasted by the eNB. </w:t>
      </w:r>
    </w:p>
    <w:p w14:paraId="6E6D081D" w14:textId="77777777" w:rsidR="009F17AE" w:rsidRDefault="009F17AE" w:rsidP="00AF4DB9">
      <w:pPr>
        <w:pStyle w:val="PatentBody"/>
        <w:numPr>
          <w:ilvl w:val="0"/>
          <w:numId w:val="0"/>
        </w:numPr>
        <w:spacing w:after="180" w:line="240" w:lineRule="auto"/>
        <w:jc w:val="both"/>
        <w:rPr>
          <w:sz w:val="20"/>
        </w:rPr>
      </w:pPr>
    </w:p>
    <w:p w14:paraId="2E0F2426" w14:textId="77777777" w:rsidR="009F17AE" w:rsidRDefault="009F17AE" w:rsidP="00AF4DB9">
      <w:pPr>
        <w:pStyle w:val="PatentBody"/>
        <w:numPr>
          <w:ilvl w:val="0"/>
          <w:numId w:val="0"/>
        </w:numPr>
        <w:spacing w:after="180" w:line="240" w:lineRule="auto"/>
        <w:jc w:val="both"/>
        <w:rPr>
          <w:sz w:val="20"/>
        </w:rPr>
      </w:pPr>
    </w:p>
    <w:p w14:paraId="780BDF13" w14:textId="7A79E611" w:rsidR="00484EDB" w:rsidRDefault="00484EDB" w:rsidP="00AF4DB9">
      <w:pPr>
        <w:pStyle w:val="PatentBody"/>
        <w:numPr>
          <w:ilvl w:val="0"/>
          <w:numId w:val="0"/>
        </w:numPr>
        <w:spacing w:after="180" w:line="240" w:lineRule="auto"/>
        <w:jc w:val="both"/>
        <w:rPr>
          <w:sz w:val="20"/>
        </w:rPr>
      </w:pPr>
    </w:p>
    <w:p w14:paraId="10FBF393" w14:textId="2A57F38B" w:rsidR="00484EDB" w:rsidRDefault="009F17AE" w:rsidP="00484EDB">
      <w:pPr>
        <w:pStyle w:val="Heading2"/>
      </w:pPr>
      <w:r>
        <w:t xml:space="preserve">Barring </w:t>
      </w:r>
      <w:r w:rsidR="00B75671">
        <w:t>UEs</w:t>
      </w:r>
    </w:p>
    <w:p w14:paraId="7B2DB640" w14:textId="2210AA3E" w:rsidR="009F17AE" w:rsidRDefault="00F717AD" w:rsidP="00484EDB">
      <w:pPr>
        <w:rPr>
          <w:lang w:val="en-GB" w:eastAsia="en-US"/>
        </w:rPr>
      </w:pPr>
      <w:r>
        <w:rPr>
          <w:lang w:val="en-GB" w:eastAsia="en-US"/>
        </w:rPr>
        <w:t xml:space="preserve">In last meeting the following was decided: </w:t>
      </w:r>
    </w:p>
    <w:p w14:paraId="11341756" w14:textId="77777777" w:rsidR="00F717AD" w:rsidRDefault="00F717AD" w:rsidP="00F717AD">
      <w:pPr>
        <w:pStyle w:val="Doc-text2"/>
        <w:pBdr>
          <w:top w:val="single" w:sz="4" w:space="1" w:color="auto"/>
          <w:left w:val="single" w:sz="4" w:space="4" w:color="auto"/>
          <w:bottom w:val="single" w:sz="4" w:space="1" w:color="auto"/>
          <w:right w:val="single" w:sz="4" w:space="4" w:color="auto"/>
        </w:pBdr>
      </w:pPr>
      <w:r>
        <w:t>3.</w:t>
      </w:r>
      <w:r>
        <w:tab/>
        <w:t>RAN2 understands legacy UEs may</w:t>
      </w:r>
      <w:r w:rsidRPr="00246EF4">
        <w:t xml:space="preserve"> be barred by </w:t>
      </w:r>
      <w:r>
        <w:t xml:space="preserve">legacy </w:t>
      </w:r>
      <w:r w:rsidRPr="00246EF4">
        <w:t xml:space="preserve">cellBarred and cellBarredNTN </w:t>
      </w:r>
    </w:p>
    <w:p w14:paraId="23A2840B" w14:textId="1B09AC1F" w:rsidR="009F17AE" w:rsidRDefault="009F17AE" w:rsidP="00484EDB">
      <w:pPr>
        <w:rPr>
          <w:lang w:val="en-GB" w:eastAsia="en-US"/>
        </w:rPr>
      </w:pPr>
    </w:p>
    <w:p w14:paraId="5D1CF375" w14:textId="3840750F" w:rsidR="00F717AD" w:rsidRDefault="00F717AD" w:rsidP="00484EDB">
      <w:pPr>
        <w:rPr>
          <w:lang w:val="en-GB" w:eastAsia="en-US"/>
        </w:rPr>
      </w:pPr>
      <w:r>
        <w:rPr>
          <w:lang w:val="en-GB" w:eastAsia="en-US"/>
        </w:rPr>
        <w:t xml:space="preserve">However, it has not been made clear in the SA2 conclusions whether a legacy UE shall be assumed to not be able to operate in an S&amp;F cell. SA2 for instance has the architecture option to put the full core network in the satellite, where it may be imagined that a legacy UE may be able to operate. This is important for RAN2 as it may decide whether a potential cell barring bit shall always be present in an S&amp;F cell, which is the case for NTN cells. This is because the existence of the bit </w:t>
      </w:r>
      <w:r w:rsidR="00F26F55">
        <w:rPr>
          <w:lang w:val="en-GB" w:eastAsia="en-US"/>
        </w:rPr>
        <w:t>may</w:t>
      </w:r>
      <w:r>
        <w:rPr>
          <w:lang w:val="en-GB" w:eastAsia="en-US"/>
        </w:rPr>
        <w:t xml:space="preserve"> itself</w:t>
      </w:r>
      <w:r w:rsidR="00F26F55">
        <w:rPr>
          <w:lang w:val="en-GB" w:eastAsia="en-US"/>
        </w:rPr>
        <w:t xml:space="preserve"> be used to</w:t>
      </w:r>
      <w:r>
        <w:rPr>
          <w:lang w:val="en-GB" w:eastAsia="en-US"/>
        </w:rPr>
        <w:t xml:space="preserve"> indicate whether the cell is an S&amp;F cell or not. </w:t>
      </w:r>
    </w:p>
    <w:p w14:paraId="122983CF" w14:textId="00DAA2F5" w:rsidR="009F17AE" w:rsidRDefault="009F17AE" w:rsidP="009F17AE">
      <w:pPr>
        <w:spacing w:after="60"/>
        <w:rPr>
          <w:b/>
        </w:rPr>
      </w:pPr>
      <w:r>
        <w:rPr>
          <w:b/>
        </w:rPr>
        <w:t>Proposal 1:</w:t>
      </w:r>
      <w:r w:rsidR="005D5825">
        <w:rPr>
          <w:b/>
        </w:rPr>
        <w:t xml:space="preserve"> Send LS</w:t>
      </w:r>
      <w:r>
        <w:rPr>
          <w:b/>
        </w:rPr>
        <w:t xml:space="preserve"> to SA2 on whether legacy UEs can be assumed </w:t>
      </w:r>
      <w:r w:rsidR="003047FD">
        <w:rPr>
          <w:b/>
        </w:rPr>
        <w:t>able</w:t>
      </w:r>
      <w:r>
        <w:rPr>
          <w:b/>
        </w:rPr>
        <w:t xml:space="preserve"> to connect to </w:t>
      </w:r>
      <w:r w:rsidR="00F717AD">
        <w:rPr>
          <w:b/>
        </w:rPr>
        <w:t>a</w:t>
      </w:r>
      <w:r w:rsidR="003047FD">
        <w:rPr>
          <w:b/>
        </w:rPr>
        <w:t>n</w:t>
      </w:r>
      <w:r w:rsidR="00F717AD">
        <w:rPr>
          <w:b/>
        </w:rPr>
        <w:t xml:space="preserve"> S&amp;F cell</w:t>
      </w:r>
      <w:r w:rsidR="00F10535">
        <w:rPr>
          <w:b/>
        </w:rPr>
        <w:t xml:space="preserve"> in both of the S&amp;F architecture options</w:t>
      </w:r>
      <w:r w:rsidR="00F717AD">
        <w:rPr>
          <w:b/>
        </w:rPr>
        <w:t xml:space="preserve">. </w:t>
      </w:r>
      <w:r>
        <w:rPr>
          <w:b/>
        </w:rPr>
        <w:t xml:space="preserve"> </w:t>
      </w:r>
    </w:p>
    <w:p w14:paraId="536D2AF7" w14:textId="64EB449F" w:rsidR="00484EDB" w:rsidRDefault="00484EDB"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694E95">
      <w:pPr>
        <w:pStyle w:val="ListParagraph"/>
        <w:numPr>
          <w:ilvl w:val="2"/>
          <w:numId w:val="5"/>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694E95">
      <w:pPr>
        <w:pStyle w:val="ListParagraph"/>
        <w:numPr>
          <w:ilvl w:val="2"/>
          <w:numId w:val="5"/>
        </w:numPr>
        <w:rPr>
          <w:sz w:val="20"/>
          <w:lang w:val="en-GB" w:eastAsia="en-US"/>
        </w:rPr>
      </w:pPr>
      <w:r w:rsidRPr="00781E85">
        <w:rPr>
          <w:sz w:val="20"/>
          <w:lang w:val="en-GB" w:eastAsia="en-US"/>
        </w:rPr>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694E95">
      <w:pPr>
        <w:pStyle w:val="ListParagraph"/>
        <w:numPr>
          <w:ilvl w:val="2"/>
          <w:numId w:val="5"/>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58CB8706" w:rsidR="00AA31E0" w:rsidRDefault="00AA31E0" w:rsidP="00AA31E0">
      <w:pPr>
        <w:rPr>
          <w:lang w:val="en-GB" w:eastAsia="en-US"/>
        </w:rPr>
      </w:pPr>
    </w:p>
    <w:p w14:paraId="1307E818" w14:textId="6F57BEF3" w:rsidR="008F4A43" w:rsidRDefault="008F4A43" w:rsidP="00AA31E0">
      <w:pPr>
        <w:rPr>
          <w:lang w:val="en-GB" w:eastAsia="en-US"/>
        </w:rPr>
      </w:pPr>
      <w:r>
        <w:rPr>
          <w:lang w:val="en-GB" w:eastAsia="en-US"/>
        </w:rPr>
        <w:t xml:space="preserve">As discussed above, SA2 has decided that satelliteIDs can be sent in a NAS message, which will refer to satellite assistance information in system information. </w:t>
      </w:r>
      <w:r w:rsidR="008508AF">
        <w:rPr>
          <w:lang w:val="en-GB" w:eastAsia="en-US"/>
        </w:rPr>
        <w:t>A satellite ID can potentially identify satellite assistance information in SIB31 (serving cell), SIB32 and SIB33. The satellite assistance informati</w:t>
      </w:r>
      <w:r w:rsidR="00C50D8B">
        <w:rPr>
          <w:lang w:val="en-GB" w:eastAsia="en-US"/>
        </w:rPr>
        <w:t>on in SIB31 and SIB33 are short-</w:t>
      </w:r>
      <w:r w:rsidR="008508AF">
        <w:rPr>
          <w:lang w:val="en-GB" w:eastAsia="en-US"/>
        </w:rPr>
        <w:t>term satellite assistance information, so we believe it is unlikely that this shall be used for S&amp;F. So it is more reasonable that the signalled satellite IDs</w:t>
      </w:r>
      <w:r w:rsidR="00062B13">
        <w:rPr>
          <w:lang w:val="en-GB" w:eastAsia="en-US"/>
        </w:rPr>
        <w:t xml:space="preserve"> in NAS</w:t>
      </w:r>
      <w:r w:rsidR="008508AF">
        <w:rPr>
          <w:lang w:val="en-GB" w:eastAsia="en-US"/>
        </w:rPr>
        <w:t xml:space="preserve"> identify long term ephemeris for discontinuous coverage in SIB32. This implies that according to SA2, discontinuous coverage and S&amp;F are heavily intertwined. </w:t>
      </w:r>
      <w:bookmarkStart w:id="5" w:name="_GoBack"/>
      <w:bookmarkEnd w:id="5"/>
    </w:p>
    <w:p w14:paraId="3C492261" w14:textId="6942CE15" w:rsidR="008F4A43" w:rsidRPr="00AA31E0" w:rsidRDefault="00D96004" w:rsidP="00AA31E0">
      <w:pPr>
        <w:rPr>
          <w:lang w:val="en-GB" w:eastAsia="en-US"/>
        </w:rPr>
      </w:pPr>
      <w:r>
        <w:rPr>
          <w:lang w:val="en-GB" w:eastAsia="en-US"/>
        </w:rPr>
        <w:t xml:space="preserve">So we believe that </w:t>
      </w:r>
      <w:r w:rsidR="008508AF">
        <w:rPr>
          <w:lang w:val="en-GB" w:eastAsia="en-US"/>
        </w:rPr>
        <w:t xml:space="preserve">a UE capable of S&amp;F can be assumed to be discontinuous coverage-capable. </w:t>
      </w:r>
      <w:r w:rsidR="00035C4E">
        <w:rPr>
          <w:lang w:val="en-GB" w:eastAsia="en-US"/>
        </w:rPr>
        <w:t>This also means that S&amp;F information should be taken into account for discontinuous coverage</w:t>
      </w:r>
      <w:r w:rsidR="00D13D4E">
        <w:rPr>
          <w:lang w:val="en-GB" w:eastAsia="en-US"/>
        </w:rPr>
        <w:t xml:space="preserve"> operation</w:t>
      </w:r>
      <w:r w:rsidR="00035C4E">
        <w:rPr>
          <w:lang w:val="en-GB" w:eastAsia="en-US"/>
        </w:rPr>
        <w:t xml:space="preserve">. </w:t>
      </w:r>
    </w:p>
    <w:p w14:paraId="19EB2B7F" w14:textId="144E89C9" w:rsidR="00781E85" w:rsidRDefault="00C965A1" w:rsidP="00781E85">
      <w:pPr>
        <w:rPr>
          <w:lang w:val="en-GB" w:eastAsia="en-US"/>
        </w:rPr>
      </w:pPr>
      <w:r>
        <w:rPr>
          <w:b/>
        </w:rPr>
        <w:t xml:space="preserve">Proposal </w:t>
      </w:r>
      <w:r w:rsidR="00823585">
        <w:rPr>
          <w:b/>
        </w:rPr>
        <w:t>2</w:t>
      </w:r>
      <w:r w:rsidR="00781E85">
        <w:rPr>
          <w:b/>
        </w:rPr>
        <w:t xml:space="preserve">: A UE capable of S&amp;F can be assumed to </w:t>
      </w:r>
      <w:r w:rsidR="00062B13">
        <w:rPr>
          <w:b/>
        </w:rPr>
        <w:t xml:space="preserve">be </w:t>
      </w:r>
      <w:r w:rsidR="003D20BB">
        <w:rPr>
          <w:b/>
        </w:rPr>
        <w:t>discontinuous coverage</w:t>
      </w:r>
      <w:r w:rsidR="00062B13">
        <w:rPr>
          <w:b/>
        </w:rPr>
        <w:t>-capable</w:t>
      </w:r>
      <w:r w:rsidR="00781E85">
        <w:rPr>
          <w:b/>
        </w:rPr>
        <w:t xml:space="preserve">. </w:t>
      </w:r>
    </w:p>
    <w:p w14:paraId="3B9CCB28" w14:textId="51ACBA90" w:rsidR="0051202F" w:rsidRDefault="0051202F" w:rsidP="0051202F">
      <w:pPr>
        <w:rPr>
          <w:lang w:val="en-GB" w:eastAsia="en-US"/>
        </w:rPr>
      </w:pPr>
      <w:r>
        <w:rPr>
          <w:b/>
        </w:rPr>
        <w:t xml:space="preserve">Proposal </w:t>
      </w:r>
      <w:r w:rsidR="00823585">
        <w:rPr>
          <w:b/>
        </w:rPr>
        <w:t>3</w:t>
      </w:r>
      <w:r>
        <w:rPr>
          <w:b/>
        </w:rPr>
        <w:t xml:space="preserve">: </w:t>
      </w:r>
      <w:r w:rsidR="008A2ABD">
        <w:rPr>
          <w:b/>
        </w:rPr>
        <w:t>S&amp;F information</w:t>
      </w:r>
      <w:r w:rsidR="00062B13">
        <w:rPr>
          <w:b/>
        </w:rPr>
        <w:t xml:space="preserve"> provided by NAS can be</w:t>
      </w:r>
      <w:r w:rsidR="00D96004">
        <w:rPr>
          <w:b/>
        </w:rPr>
        <w:t xml:space="preserve"> used</w:t>
      </w:r>
      <w:r w:rsidR="008A2ABD">
        <w:rPr>
          <w:b/>
        </w:rPr>
        <w:t xml:space="preserve"> for discontinuous coverage</w:t>
      </w:r>
      <w:r w:rsidR="00EF0AF1">
        <w:rPr>
          <w:b/>
        </w:rPr>
        <w:t xml:space="preserve"> operation</w:t>
      </w:r>
      <w:r>
        <w:rPr>
          <w:b/>
        </w:rPr>
        <w:t xml:space="preserve">. </w:t>
      </w:r>
    </w:p>
    <w:p w14:paraId="5FF2457F" w14:textId="72E1A9E3" w:rsidR="00A209D6" w:rsidRPr="006E13D1" w:rsidRDefault="008C3057" w:rsidP="003F11FC">
      <w:pPr>
        <w:pStyle w:val="Heading1"/>
        <w:jc w:val="both"/>
      </w:pPr>
      <w:r>
        <w:t>Conclusion</w:t>
      </w:r>
    </w:p>
    <w:p w14:paraId="6B206649" w14:textId="43A30918"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D59A1">
        <w:rPr>
          <w:lang w:eastAsia="ko-KR"/>
        </w:rPr>
        <w:t xml:space="preserve">issues related to S&amp;F network. </w:t>
      </w:r>
    </w:p>
    <w:p w14:paraId="62AC0104" w14:textId="77777777" w:rsidR="00F1460C" w:rsidRPr="009607A6" w:rsidRDefault="00F1460C" w:rsidP="00F1460C">
      <w:pPr>
        <w:rPr>
          <w:b/>
        </w:rPr>
      </w:pPr>
      <w:r w:rsidRPr="009607A6">
        <w:rPr>
          <w:b/>
        </w:rPr>
        <w:t xml:space="preserve">Observation 1: </w:t>
      </w:r>
      <w:r>
        <w:rPr>
          <w:b/>
        </w:rPr>
        <w:t>The E2E delay in an S&amp;F network may be very large</w:t>
      </w:r>
      <w:r w:rsidRPr="009607A6">
        <w:rPr>
          <w:b/>
        </w:rPr>
        <w:t xml:space="preserve">. </w:t>
      </w:r>
    </w:p>
    <w:p w14:paraId="3C04EE18" w14:textId="77777777" w:rsidR="00BA7338" w:rsidRDefault="00BA7338" w:rsidP="00BA7338">
      <w:pPr>
        <w:spacing w:after="60"/>
        <w:rPr>
          <w:b/>
        </w:rPr>
      </w:pPr>
      <w:r>
        <w:rPr>
          <w:b/>
        </w:rPr>
        <w:t xml:space="preserve">Proposal 1: Send LS to SA2 on whether legacy UEs can be assumed able to connect to an S&amp;F cell in both of the S&amp;F architecture options.  </w:t>
      </w:r>
    </w:p>
    <w:p w14:paraId="165F3BA4" w14:textId="77777777" w:rsidR="00BA7338" w:rsidRDefault="00BA7338" w:rsidP="00BA7338">
      <w:pPr>
        <w:rPr>
          <w:lang w:val="en-GB" w:eastAsia="en-US"/>
        </w:rPr>
      </w:pPr>
      <w:r>
        <w:rPr>
          <w:b/>
        </w:rPr>
        <w:t xml:space="preserve">Proposal 2: A UE capable of S&amp;F can be assumed to be discontinuous coverage-capable. </w:t>
      </w:r>
    </w:p>
    <w:p w14:paraId="5E7FB30E" w14:textId="77777777" w:rsidR="00BA7338" w:rsidRDefault="00BA7338" w:rsidP="00BA7338">
      <w:pPr>
        <w:rPr>
          <w:lang w:val="en-GB" w:eastAsia="en-US"/>
        </w:rPr>
      </w:pPr>
      <w:r>
        <w:rPr>
          <w:b/>
        </w:rPr>
        <w:t xml:space="preserve">Proposal 3: S&amp;F information provided by NAS can be taken into account for discontinuous coverage operation. </w:t>
      </w:r>
    </w:p>
    <w:p w14:paraId="636BBE4C" w14:textId="77777777" w:rsidR="00FF4C4F" w:rsidRDefault="00FF4C4F"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5EBEF5DB" w14:textId="42F58E23" w:rsidR="0049280D" w:rsidRPr="003D7E84"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615AA350" w14:textId="4F2C8B05" w:rsidR="003D7E84" w:rsidRPr="00852487" w:rsidRDefault="003D7E84" w:rsidP="00BF409E">
      <w:pPr>
        <w:pStyle w:val="references"/>
        <w:spacing w:after="180" w:line="240" w:lineRule="auto"/>
        <w:rPr>
          <w:szCs w:val="20"/>
        </w:rPr>
      </w:pPr>
      <w:r>
        <w:rPr>
          <w:rFonts w:ascii="Arial" w:hAnsi="Arial" w:cs="Arial"/>
          <w:szCs w:val="20"/>
        </w:rPr>
        <w:t xml:space="preserve">RP-240775, Revised WID: Non-Terrestrial Networks () for NR Phase 3, Thales, CATT, RAN#103, Maastricht, Netherlands, March 2024. </w:t>
      </w:r>
    </w:p>
    <w:p w14:paraId="7ADE167B" w14:textId="7A0786B0"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xml:space="preserve">, Release 18, V18.5.0, March 2024. </w:t>
      </w:r>
    </w:p>
    <w:p w14:paraId="7DE0901A" w14:textId="70173340" w:rsidR="009607A6" w:rsidRPr="001767C8" w:rsidRDefault="009607A6" w:rsidP="001767C8">
      <w:pPr>
        <w:rPr>
          <w:lang w:val="en-GB" w:eastAsia="en-US"/>
        </w:rPr>
      </w:pPr>
    </w:p>
    <w:p w14:paraId="5954A1CF" w14:textId="777147EF" w:rsidR="00694E95" w:rsidRDefault="00694E95">
      <w:pPr>
        <w:pStyle w:val="Heading1"/>
      </w:pPr>
      <w:r>
        <w:t>Appendix</w:t>
      </w:r>
    </w:p>
    <w:p w14:paraId="4FE18087" w14:textId="190C99AE" w:rsidR="00694E95" w:rsidRDefault="00694E95" w:rsidP="00694E95">
      <w:pPr>
        <w:rPr>
          <w:lang w:val="en-GB" w:eastAsia="en-US"/>
        </w:rPr>
      </w:pPr>
    </w:p>
    <w:p w14:paraId="13706B80" w14:textId="64AB65B4" w:rsidR="00694E95" w:rsidRPr="00694E95" w:rsidRDefault="00694E95" w:rsidP="00694E95">
      <w:pPr>
        <w:jc w:val="center"/>
        <w:rPr>
          <w:color w:val="FF0000"/>
          <w:lang w:val="en-GB" w:eastAsia="en-US"/>
        </w:rPr>
      </w:pPr>
      <w:r w:rsidRPr="00694E95">
        <w:rPr>
          <w:color w:val="FF0000"/>
          <w:lang w:val="en-GB" w:eastAsia="en-US"/>
        </w:rPr>
        <w:t>---------------------------- 23.700-29 ----------------------------</w:t>
      </w:r>
    </w:p>
    <w:p w14:paraId="0B9F0C2C" w14:textId="77777777" w:rsidR="00694E95" w:rsidRPr="006A358E" w:rsidRDefault="00694E95" w:rsidP="006A358E">
      <w:pPr>
        <w:rPr>
          <w:sz w:val="32"/>
          <w:lang w:val="en-GB"/>
        </w:rPr>
      </w:pPr>
      <w:bookmarkStart w:id="6" w:name="_Toc170305391"/>
      <w:r w:rsidRPr="006A358E">
        <w:rPr>
          <w:sz w:val="32"/>
          <w:lang w:val="en-GB" w:eastAsia="ko-KR"/>
        </w:rPr>
        <w:t>8.2</w:t>
      </w:r>
      <w:r w:rsidRPr="006A358E">
        <w:rPr>
          <w:sz w:val="32"/>
          <w:lang w:val="en-GB" w:eastAsia="ko-KR"/>
        </w:rPr>
        <w:tab/>
      </w:r>
      <w:r w:rsidRPr="006A358E">
        <w:rPr>
          <w:rFonts w:eastAsia="DengXian"/>
          <w:sz w:val="32"/>
          <w:lang w:val="en-GB" w:eastAsia="zh-CN"/>
        </w:rPr>
        <w:t xml:space="preserve">Conclusion for </w:t>
      </w:r>
      <w:r w:rsidRPr="006A358E">
        <w:rPr>
          <w:sz w:val="32"/>
          <w:lang w:val="en-GB" w:eastAsia="ko-KR"/>
        </w:rPr>
        <w:t>KI</w:t>
      </w:r>
      <w:r w:rsidRPr="006A358E">
        <w:rPr>
          <w:rFonts w:hint="eastAsia"/>
          <w:sz w:val="32"/>
          <w:lang w:val="en-GB" w:eastAsia="ko-KR"/>
        </w:rPr>
        <w:t xml:space="preserve"> #</w:t>
      </w:r>
      <w:r w:rsidRPr="006A358E">
        <w:rPr>
          <w:sz w:val="32"/>
          <w:lang w:val="en-GB" w:eastAsia="ko-KR"/>
        </w:rPr>
        <w:t>2</w:t>
      </w:r>
      <w:r w:rsidRPr="006A358E">
        <w:rPr>
          <w:rFonts w:hint="eastAsia"/>
          <w:sz w:val="32"/>
          <w:lang w:val="en-GB" w:eastAsia="ko-KR"/>
        </w:rPr>
        <w:t xml:space="preserve">: </w:t>
      </w:r>
      <w:r w:rsidRPr="006A358E">
        <w:rPr>
          <w:sz w:val="32"/>
          <w:lang w:val="en-GB" w:eastAsia="ko-KR"/>
        </w:rPr>
        <w:t>Support of</w:t>
      </w:r>
      <w:r w:rsidRPr="006A358E">
        <w:rPr>
          <w:sz w:val="32"/>
          <w:lang w:val="en-GB"/>
        </w:rPr>
        <w:t xml:space="preserve"> </w:t>
      </w:r>
      <w:r w:rsidRPr="006A358E">
        <w:rPr>
          <w:sz w:val="32"/>
          <w:lang w:val="en-GB" w:eastAsia="zh-CN"/>
        </w:rPr>
        <w:t>S</w:t>
      </w:r>
      <w:r w:rsidRPr="006A358E">
        <w:rPr>
          <w:rFonts w:hint="eastAsia"/>
          <w:sz w:val="32"/>
          <w:lang w:val="en-GB" w:eastAsia="zh-CN"/>
        </w:rPr>
        <w:t xml:space="preserve">tore and </w:t>
      </w:r>
      <w:r w:rsidRPr="006A358E">
        <w:rPr>
          <w:sz w:val="32"/>
          <w:lang w:val="en-GB" w:eastAsia="zh-CN"/>
        </w:rPr>
        <w:t>F</w:t>
      </w:r>
      <w:r w:rsidRPr="006A358E">
        <w:rPr>
          <w:rFonts w:hint="eastAsia"/>
          <w:sz w:val="32"/>
          <w:lang w:val="en-GB" w:eastAsia="zh-CN"/>
        </w:rPr>
        <w:t>orward</w:t>
      </w:r>
      <w:r w:rsidRPr="006A358E">
        <w:rPr>
          <w:sz w:val="32"/>
          <w:lang w:val="en-GB" w:eastAsia="zh-CN"/>
        </w:rPr>
        <w:t xml:space="preserve"> Satellite operation</w:t>
      </w:r>
      <w:bookmarkEnd w:id="6"/>
    </w:p>
    <w:p w14:paraId="6FA2B791"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1:</w:t>
      </w:r>
      <w:r w:rsidRPr="00694E95">
        <w:rPr>
          <w:rFonts w:ascii="Times New Roman" w:eastAsia="Times New Roman" w:hAnsi="Times New Roman" w:cs="Times New Roman"/>
          <w:szCs w:val="20"/>
          <w:lang w:val="en-GB"/>
        </w:rPr>
        <w:tab/>
        <w:t>Whether to have a full CN onboard the satellite or Split MME architecture is up to the operation deployment.</w:t>
      </w:r>
    </w:p>
    <w:p w14:paraId="50692FBC"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2:</w:t>
      </w:r>
      <w:r w:rsidRPr="00694E95">
        <w:rPr>
          <w:rFonts w:ascii="Times New Roman" w:eastAsia="Times New Roman" w:hAnsi="Times New Roman" w:cs="Times New Roman"/>
          <w:szCs w:val="20"/>
          <w:lang w:val="en-GB"/>
        </w:rPr>
        <w:tab/>
        <w:t>The security issues (if any) of these conclusions are in the scope of SA WG3.</w:t>
      </w:r>
    </w:p>
    <w:p w14:paraId="6E591516"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3:</w:t>
      </w:r>
      <w:r w:rsidRPr="00694E95">
        <w:rPr>
          <w:rFonts w:ascii="Times New Roman" w:eastAsia="Times New Roman" w:hAnsi="Times New Roman" w:cs="Times New Roman"/>
          <w:szCs w:val="20"/>
          <w:lang w:val="en-GB"/>
        </w:rPr>
        <w:tab/>
        <w:t>The LI issues (if any) of these conclusions are in the scope SA WG3-LI.</w:t>
      </w:r>
    </w:p>
    <w:p w14:paraId="6A8AEC5E"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4:</w:t>
      </w:r>
      <w:r w:rsidRPr="00694E95">
        <w:rPr>
          <w:rFonts w:ascii="Times New Roman" w:eastAsia="Times New Roman" w:hAnsi="Times New Roman" w:cs="Times New Roman"/>
          <w:szCs w:val="20"/>
          <w:lang w:val="en-GB"/>
        </w:rPr>
        <w:tab/>
        <w:t>The deployments are subject to regulatory requirements.</w:t>
      </w:r>
    </w:p>
    <w:p w14:paraId="6E9ACA42" w14:textId="77777777" w:rsidR="00694E95" w:rsidRPr="00694E95" w:rsidRDefault="00694E95" w:rsidP="00694E95">
      <w:pPr>
        <w:overflowPunct w:val="0"/>
        <w:autoSpaceDE w:val="0"/>
        <w:autoSpaceDN w:val="0"/>
        <w:adjustRightInd w:val="0"/>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The following option is agreed for supporting Store and Forward operation with a Split MME architecture with the following (informative) principles:</w:t>
      </w:r>
    </w:p>
    <w:p w14:paraId="434E2656"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1)</w:t>
      </w:r>
      <w:r w:rsidRPr="00694E95">
        <w:rPr>
          <w:rFonts w:ascii="Times New Roman" w:eastAsia="Times New Roman" w:hAnsi="Times New Roman" w:cs="Times New Roman"/>
          <w:szCs w:val="20"/>
          <w:lang w:val="en-GB"/>
        </w:rPr>
        <w:tab/>
        <w:t>In the Split MME architecture, HSS is on the ground.</w:t>
      </w:r>
    </w:p>
    <w:p w14:paraId="28217B7F"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2)</w:t>
      </w:r>
      <w:r w:rsidRPr="00694E95">
        <w:rPr>
          <w:rFonts w:ascii="Times New Roman" w:eastAsia="Times New Roman" w:hAnsi="Times New Roman" w:cs="Times New Roman"/>
          <w:szCs w:val="20"/>
          <w:lang w:val="en-GB"/>
        </w:rPr>
        <w:tab/>
        <w:t>MME functionality is split into two parts: MME-onboard - the MME part which is onboard the satellite and MME-ground - the MME part which is on the ground network with an interface out of scope of 3GPP.</w:t>
      </w:r>
    </w:p>
    <w:p w14:paraId="278B9134"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3)</w:t>
      </w:r>
      <w:r w:rsidRPr="00694E95">
        <w:rPr>
          <w:rFonts w:ascii="Times New Roman" w:eastAsia="Times New Roman" w:hAnsi="Times New Roman" w:cs="Times New Roman"/>
          <w:szCs w:val="20"/>
          <w:lang w:val="en-GB"/>
        </w:rPr>
        <w:tab/>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All types of data traffic (e.g. IP, etc.) can be supported and transferred using the existing user plane and control plane procedures defined in EPS.</w:t>
      </w:r>
    </w:p>
    <w:p w14:paraId="304E381B"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4)</w:t>
      </w:r>
      <w:r w:rsidRPr="00694E95">
        <w:rPr>
          <w:rFonts w:ascii="Times New Roman" w:eastAsia="Times New Roman" w:hAnsi="Times New Roman" w:cs="Times New Roman"/>
          <w:szCs w:val="20"/>
          <w:lang w:val="en-GB"/>
        </w:rPr>
        <w:tab/>
        <w:t>For MO SMS, upon reception of the MO SMS the MME-onboard stores the MO-SMS and may immediately send the delivery report(i.e. RP-ACK) to the UE i.e. as if the MO-SMS has already been successfully delivered to the Service Centre (SC).</w:t>
      </w:r>
    </w:p>
    <w:p w14:paraId="43CB30D6" w14:textId="77777777" w:rsidR="00694E95" w:rsidRPr="00694E95" w:rsidRDefault="00694E95" w:rsidP="00694E95">
      <w:pPr>
        <w:overflowPunct w:val="0"/>
        <w:autoSpaceDE w:val="0"/>
        <w:autoSpaceDN w:val="0"/>
        <w:adjustRightInd w:val="0"/>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With the following normative impacts:</w:t>
      </w:r>
    </w:p>
    <w:p w14:paraId="651D5117"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1)</w:t>
      </w:r>
      <w:r w:rsidRPr="00694E95">
        <w:rPr>
          <w:rFonts w:ascii="Times New Roman" w:eastAsia="Times New Roman" w:hAnsi="Times New Roman" w:cs="Times New Roman"/>
          <w:szCs w:val="20"/>
          <w:lang w:val="en-GB"/>
        </w:rPr>
        <w:tab/>
        <w:t>When feeder link is not available and the network supports S&amp;F operation, the network shall be able to inform UE(s) whether S&amp;F Satellite operation is applied, (e.g. eNB broadcast support of S&amp;F operation as part of System Information).</w:t>
      </w:r>
    </w:p>
    <w:p w14:paraId="30BCC6E8"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1:</w:t>
      </w:r>
      <w:r w:rsidRPr="00694E95">
        <w:rPr>
          <w:rFonts w:ascii="Times New Roman" w:eastAsia="Times New Roman" w:hAnsi="Times New Roman" w:cs="Times New Roman"/>
          <w:szCs w:val="20"/>
          <w:lang w:val="en-GB"/>
        </w:rP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55278D2B"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2)</w:t>
      </w:r>
      <w:r w:rsidRPr="00694E95">
        <w:rPr>
          <w:rFonts w:ascii="Times New Roman" w:eastAsia="Times New Roman" w:hAnsi="Times New Roman" w:cs="Times New Roman"/>
          <w:szCs w:val="20"/>
          <w:lang w:val="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695F911F" w14:textId="77777777" w:rsidR="00694E95" w:rsidRPr="00694E95" w:rsidRDefault="00694E95" w:rsidP="00694E95">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a)</w:t>
      </w:r>
      <w:r w:rsidRPr="00694E95">
        <w:rPr>
          <w:rFonts w:ascii="Times New Roman" w:eastAsia="Times New Roman" w:hAnsi="Times New Roman" w:cs="Times New Roman"/>
          <w:szCs w:val="20"/>
          <w:lang w:val="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24F3EB0" w14:textId="77777777" w:rsidR="00694E95" w:rsidRPr="00694E95" w:rsidRDefault="00694E95" w:rsidP="00694E95">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b)</w:t>
      </w:r>
      <w:r w:rsidRPr="00694E95">
        <w:rPr>
          <w:rFonts w:ascii="Times New Roman" w:eastAsia="Times New Roman" w:hAnsi="Times New Roman" w:cs="Times New Roman"/>
          <w:szCs w:val="20"/>
          <w:lang w:val="en-GB"/>
        </w:rPr>
        <w:tab/>
        <w:t>Wait timer: Indicates to the UE the time it should wait before re-attempting the Attach/TAU procedure in the current or another satellite of the same PLMN.</w:t>
      </w:r>
    </w:p>
    <w:p w14:paraId="0524930C" w14:textId="77777777" w:rsidR="00694E95" w:rsidRPr="00694E95" w:rsidRDefault="00694E95" w:rsidP="00694E95">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c)</w:t>
      </w:r>
      <w:r w:rsidRPr="00694E95">
        <w:rPr>
          <w:rFonts w:ascii="Times New Roman" w:eastAsia="Times New Roman" w:hAnsi="Times New Roman" w:cs="Times New Roman"/>
          <w:szCs w:val="20"/>
          <w:lang w:val="en-GB"/>
        </w:rPr>
        <w:tab/>
        <w:t>Optionally, The list of Satellite IDs over which the UE may re-attempt the Attach/TAU procedure, after wait timer expires. The Satellite IDs are based on the SIB information broadcasted by eNB.</w:t>
      </w:r>
    </w:p>
    <w:p w14:paraId="6729F42C"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3)</w:t>
      </w:r>
      <w:r w:rsidRPr="00694E95">
        <w:rPr>
          <w:rFonts w:ascii="Times New Roman" w:eastAsia="Times New Roman" w:hAnsi="Times New Roman" w:cs="Times New Roman"/>
          <w:szCs w:val="20"/>
          <w:lang w:val="en-GB"/>
        </w:rPr>
        <w:tab/>
        <w:t>How the UE process this information is up to UE implementation and during the wait timer the UE can search for another terrestrial or satellite PLMN to get normal service.</w:t>
      </w:r>
    </w:p>
    <w:p w14:paraId="4F891A65"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4)</w:t>
      </w:r>
      <w:r w:rsidRPr="00694E95">
        <w:rPr>
          <w:rFonts w:ascii="Times New Roman" w:eastAsia="Times New Roman" w:hAnsi="Times New Roman" w:cs="Times New Roman"/>
          <w:szCs w:val="20"/>
          <w:lang w:val="en-GB"/>
        </w:rPr>
        <w:tab/>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59C6696F"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5)</w:t>
      </w:r>
      <w:r w:rsidRPr="00694E95">
        <w:rPr>
          <w:rFonts w:ascii="Times New Roman" w:eastAsia="Times New Roman" w:hAnsi="Times New Roman" w:cs="Times New Roman"/>
          <w:szCs w:val="20"/>
          <w:lang w:val="en-GB"/>
        </w:rP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2BC7B1E0"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6)</w:t>
      </w:r>
      <w:r w:rsidRPr="00694E95">
        <w:rPr>
          <w:rFonts w:ascii="Times New Roman" w:eastAsia="Times New Roman" w:hAnsi="Times New Roman" w:cs="Times New Roman"/>
          <w:szCs w:val="20"/>
          <w:lang w:val="en-GB"/>
        </w:rP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26FF9D18"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7)</w:t>
      </w:r>
      <w:r w:rsidRPr="00694E95">
        <w:rPr>
          <w:rFonts w:ascii="Times New Roman" w:eastAsia="Times New Roman" w:hAnsi="Times New Roman" w:cs="Times New Roman"/>
          <w:szCs w:val="20"/>
          <w:lang w:val="en-GB"/>
        </w:rPr>
        <w:tab/>
        <w:t>The MME may indicate to UE the estimated delivery time in NAS messages (Attach accept or TAU accept message or service accept). How UE uses this information is left for UE implementation.</w:t>
      </w:r>
    </w:p>
    <w:p w14:paraId="373A5678"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2:</w:t>
      </w:r>
      <w:r w:rsidRPr="00694E95">
        <w:rPr>
          <w:rFonts w:ascii="Times New Roman" w:eastAsia="Times New Roman" w:hAnsi="Times New Roman" w:cs="Times New Roman"/>
          <w:szCs w:val="20"/>
          <w:lang w:val="en-GB"/>
        </w:rPr>
        <w:tab/>
        <w:t>The estimated delivery time is the estimated time to send data from the UE to Gateway.</w:t>
      </w:r>
    </w:p>
    <w:p w14:paraId="54140EA3"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8)</w:t>
      </w:r>
      <w:r w:rsidRPr="00694E95">
        <w:rPr>
          <w:rFonts w:ascii="Times New Roman" w:eastAsia="Times New Roman" w:hAnsi="Times New Roman" w:cs="Times New Roman"/>
          <w:szCs w:val="20"/>
          <w:lang w:val="en-GB"/>
        </w:rPr>
        <w:tab/>
        <w:t>The core network can indicate to external SCS/AS whether UE is registered in S&amp;F Mode and the estimated delivery time.</w:t>
      </w:r>
    </w:p>
    <w:p w14:paraId="20826346"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3:</w:t>
      </w:r>
      <w:r w:rsidRPr="00694E95">
        <w:rPr>
          <w:rFonts w:ascii="Times New Roman" w:eastAsia="Times New Roman" w:hAnsi="Times New Roman" w:cs="Times New Roman"/>
          <w:szCs w:val="20"/>
          <w:lang w:val="en-GB"/>
        </w:rPr>
        <w:tab/>
        <w:t>Whether any existing monitoring events or procedures can be used or enhanced to achieve above will be determined during normative phase.</w:t>
      </w:r>
    </w:p>
    <w:p w14:paraId="45274906"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4:</w:t>
      </w:r>
      <w:r w:rsidRPr="00694E95">
        <w:rPr>
          <w:rFonts w:ascii="Times New Roman" w:eastAsia="Times New Roman" w:hAnsi="Times New Roman" w:cs="Times New Roman"/>
          <w:szCs w:val="20"/>
          <w:lang w:val="en-GB"/>
        </w:rPr>
        <w:tab/>
        <w:t>SA WG2 will align further based on agreements in SA WG3 e.g. on security procedures and Attach/TAU procedures.</w:t>
      </w:r>
    </w:p>
    <w:p w14:paraId="0F2947CB" w14:textId="77777777" w:rsidR="00694E95" w:rsidRPr="00694E95" w:rsidRDefault="00694E95" w:rsidP="00694E95">
      <w:pPr>
        <w:overflowPunct w:val="0"/>
        <w:autoSpaceDE w:val="0"/>
        <w:autoSpaceDN w:val="0"/>
        <w:adjustRightInd w:val="0"/>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The split MME architecture will be described in informative annex.</w:t>
      </w:r>
    </w:p>
    <w:p w14:paraId="3DB3FDB4" w14:textId="77777777" w:rsidR="00694E95" w:rsidRPr="00694E95" w:rsidRDefault="00694E95" w:rsidP="00694E95">
      <w:pPr>
        <w:overflowPunct w:val="0"/>
        <w:autoSpaceDE w:val="0"/>
        <w:autoSpaceDN w:val="0"/>
        <w:adjustRightInd w:val="0"/>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The following option is agreed for supporting Store and Forward operation with a full CN onboard the satellite with the following (informative) principles:</w:t>
      </w:r>
    </w:p>
    <w:p w14:paraId="3D18BCC1"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The whole CN including eNB, MME, SGW, PGW, HSS, E-SMLC, SMSC etc are on board each satellite. Proxies are deployed on the satellite and the ground for application traffic, including support of MT traffic, MO traffic, SMS, etc.</w:t>
      </w:r>
    </w:p>
    <w:p w14:paraId="790E1432"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The implementation of the proxies and the interface between them is out of 3GPP scope.</w:t>
      </w:r>
    </w:p>
    <w:p w14:paraId="2C29CB6F"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The UE attaches, transfers data (e.g. SMS, MO and MT data, etc.) and detaches from each satellite as required and as determined by the monitoring list.</w:t>
      </w:r>
    </w:p>
    <w:p w14:paraId="5A6E322C"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5:</w:t>
      </w:r>
      <w:r w:rsidRPr="00694E95">
        <w:rPr>
          <w:rFonts w:ascii="Times New Roman" w:eastAsia="Times New Roman" w:hAnsi="Times New Roman" w:cs="Times New Roman"/>
          <w:szCs w:val="20"/>
          <w:lang w:val="en-GB"/>
        </w:rPr>
        <w:tab/>
        <w:t>MT traffic is delivered to the UE after it performs an ATTACH.</w:t>
      </w:r>
    </w:p>
    <w:p w14:paraId="50879B73"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6:</w:t>
      </w:r>
      <w:r w:rsidRPr="00694E95">
        <w:rPr>
          <w:rFonts w:ascii="Times New Roman" w:eastAsia="Times New Roman" w:hAnsi="Times New Roman" w:cs="Times New Roman"/>
          <w:szCs w:val="20"/>
          <w:lang w:val="en-GB"/>
        </w:rPr>
        <w:tab/>
        <w:t>After mobility from S&amp;F operation, MT traffic could be stuck in the ground proxy and will only be retrieved once the UE goes back to S&amp;F operation.</w:t>
      </w:r>
    </w:p>
    <w:p w14:paraId="7D635FF8"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ab/>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14:paraId="68659B16"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Depending on the deployment and implementation (i.e. outside the scope of 3GPP in this release), the HSSs on the satellites may be populated with subscription data either for only the UEs that may access satellite or all UEs that may access the satellite.</w:t>
      </w:r>
    </w:p>
    <w:p w14:paraId="1CFB8DB6"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Depending on the deployment, the UE may have a USIM enhanced for IOPS, or a USIM dedicated to the satellite network.</w:t>
      </w:r>
    </w:p>
    <w:p w14:paraId="7978361D"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7:</w:t>
      </w:r>
      <w:r w:rsidRPr="00694E95">
        <w:rPr>
          <w:rFonts w:ascii="Times New Roman" w:eastAsia="Times New Roman" w:hAnsi="Times New Roman" w:cs="Times New Roman"/>
          <w:szCs w:val="20"/>
          <w:lang w:val="en-GB"/>
        </w:rPr>
        <w:tab/>
        <w:t>The solution does not support the roaming architectures defined in TS 23.501 [2] or TS 23.401 [5].</w:t>
      </w:r>
    </w:p>
    <w:p w14:paraId="13C0DCD1" w14:textId="77777777" w:rsidR="00694E95" w:rsidRPr="00694E95" w:rsidRDefault="00694E95" w:rsidP="00694E95">
      <w:pPr>
        <w:overflowPunct w:val="0"/>
        <w:autoSpaceDE w:val="0"/>
        <w:autoSpaceDN w:val="0"/>
        <w:adjustRightInd w:val="0"/>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With the following normative impacts:</w:t>
      </w:r>
    </w:p>
    <w:p w14:paraId="68E3EF27"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Store and forward is only supported by EPS.</w:t>
      </w:r>
    </w:p>
    <w:p w14:paraId="0B5A91F9"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2C9EB907"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8:</w:t>
      </w:r>
      <w:r w:rsidRPr="00694E95">
        <w:rPr>
          <w:rFonts w:ascii="Times New Roman" w:eastAsia="Times New Roman" w:hAnsi="Times New Roman" w:cs="Times New Roman"/>
          <w:szCs w:val="20"/>
          <w:lang w:val="en-GB"/>
        </w:rPr>
        <w:tab/>
        <w:t>The S&amp;F monitoring list may assist the UE in retrieving MT data.</w:t>
      </w:r>
    </w:p>
    <w:p w14:paraId="602D0487"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The UE needs to be aware that a satellite supports S&amp;F mode.</w:t>
      </w:r>
    </w:p>
    <w:p w14:paraId="3A1397B8" w14:textId="77777777" w:rsidR="00694E95" w:rsidRPr="00694E95" w:rsidRDefault="00694E95" w:rsidP="00694E95">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NOTE 9:</w:t>
      </w:r>
      <w:r w:rsidRPr="00694E95">
        <w:rPr>
          <w:rFonts w:ascii="Times New Roman" w:eastAsia="Times New Roman" w:hAnsi="Times New Roman" w:cs="Times New Roman"/>
          <w:szCs w:val="20"/>
          <w:lang w:val="en-GB"/>
        </w:rPr>
        <w:tab/>
        <w:t>How the UE is aware that a satellite supports S&amp;F mode of operation depends on RAN.</w:t>
      </w:r>
    </w:p>
    <w:p w14:paraId="1CB03E2B" w14:textId="77777777" w:rsidR="00694E95" w:rsidRPr="00694E95" w:rsidRDefault="00694E95" w:rsidP="00694E95">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w:t>
      </w:r>
      <w:r w:rsidRPr="00694E95">
        <w:rPr>
          <w:rFonts w:ascii="Times New Roman" w:eastAsia="Times New Roman" w:hAnsi="Times New Roman" w:cs="Times New Roman"/>
          <w:szCs w:val="20"/>
          <w:lang w:val="en-GB"/>
        </w:rPr>
        <w:tab/>
        <w:t>A UE may be rejected if the satellite cannot support the UE at this time. The attach reject may provide a timer for the time the UE should wait before reattempting and S&amp;F monitoring list which the UE can attempt attach again.</w:t>
      </w:r>
    </w:p>
    <w:p w14:paraId="3C3E4687" w14:textId="77777777" w:rsidR="00694E95" w:rsidRPr="00694E95" w:rsidRDefault="00694E95" w:rsidP="00694E95">
      <w:pPr>
        <w:jc w:val="center"/>
        <w:rPr>
          <w:color w:val="FF0000"/>
          <w:lang w:val="en-GB" w:eastAsia="en-US"/>
        </w:rPr>
      </w:pPr>
      <w:r w:rsidRPr="00694E95">
        <w:rPr>
          <w:color w:val="FF0000"/>
          <w:lang w:val="en-GB" w:eastAsia="en-US"/>
        </w:rPr>
        <w:t>---------------------------- 23.700-29 ----------------------------</w:t>
      </w:r>
    </w:p>
    <w:p w14:paraId="6FEA95BF" w14:textId="157FB7C0" w:rsidR="00694E95" w:rsidRDefault="00694E95" w:rsidP="00694E95">
      <w:pPr>
        <w:rPr>
          <w:lang w:val="en-GB" w:eastAsia="en-US"/>
        </w:rPr>
      </w:pPr>
    </w:p>
    <w:p w14:paraId="5FB901DC" w14:textId="57894F34" w:rsidR="00694E95" w:rsidRDefault="00694E95" w:rsidP="00694E95">
      <w:pPr>
        <w:rPr>
          <w:lang w:val="en-GB" w:eastAsia="en-US"/>
        </w:rPr>
      </w:pPr>
    </w:p>
    <w:p w14:paraId="49B06883" w14:textId="0FA655A4" w:rsidR="00694E95" w:rsidRDefault="00694E95" w:rsidP="00694E95">
      <w:pPr>
        <w:rPr>
          <w:lang w:val="en-GB" w:eastAsia="en-US"/>
        </w:rPr>
      </w:pPr>
    </w:p>
    <w:p w14:paraId="7B302534" w14:textId="77777777" w:rsidR="00694E95" w:rsidRPr="00694E95" w:rsidRDefault="00694E95" w:rsidP="00694E95">
      <w:pPr>
        <w:rPr>
          <w:lang w:val="en-GB" w:eastAsia="en-US"/>
        </w:rPr>
      </w:pPr>
    </w:p>
    <w:sectPr w:rsidR="00694E95" w:rsidRPr="00694E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6"/>
  </w:num>
  <w:num w:numId="6">
    <w:abstractNumId w:val="5"/>
  </w:num>
  <w:num w:numId="7">
    <w:abstractNumId w:val="0"/>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669"/>
    <w:rsid w:val="0043208C"/>
    <w:rsid w:val="004322B3"/>
    <w:rsid w:val="00432BC9"/>
    <w:rsid w:val="00432BE2"/>
    <w:rsid w:val="00432F4A"/>
    <w:rsid w:val="00434571"/>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2ABD"/>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134D"/>
    <w:rsid w:val="00D92DA4"/>
    <w:rsid w:val="00D93832"/>
    <w:rsid w:val="00D93914"/>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F2823-0A66-484F-A73D-1DF5C464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2712</Words>
  <Characters>13493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2024-08-08T23:10:00Z</dcterms:created>
  <dcterms:modified xsi:type="dcterms:W3CDTF">2024-08-09T09:23:00Z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